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4004"/>
        <w:gridCol w:w="4651"/>
      </w:tblGrid>
      <w:tr w:rsidR="009613E2" w14:paraId="389B6AA6" w14:textId="77777777" w:rsidTr="00C37DE0">
        <w:tc>
          <w:tcPr>
            <w:tcW w:w="695" w:type="dxa"/>
            <w:shd w:val="clear" w:color="auto" w:fill="auto"/>
            <w:vAlign w:val="center"/>
          </w:tcPr>
          <w:p w14:paraId="030D021C" w14:textId="0BBC9886" w:rsidR="009613E2" w:rsidRDefault="009613E2" w:rsidP="006E4556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</w:p>
        </w:tc>
        <w:tc>
          <w:tcPr>
            <w:tcW w:w="8655" w:type="dxa"/>
            <w:gridSpan w:val="2"/>
            <w:shd w:val="clear" w:color="auto" w:fill="auto"/>
            <w:vAlign w:val="center"/>
          </w:tcPr>
          <w:p w14:paraId="1B7E4105" w14:textId="77777777" w:rsidR="009613E2" w:rsidRPr="009613E2" w:rsidRDefault="009613E2" w:rsidP="009613E2">
            <w:pPr>
              <w:spacing w:line="20" w:lineRule="atLeast"/>
              <w:jc w:val="center"/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9613E2"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Tiek</w:t>
            </w:r>
            <w:r w:rsidRPr="009613E2"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ė</w:t>
            </w:r>
            <w:r w:rsidRPr="009613E2"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j</w:t>
            </w:r>
            <w:r w:rsidRPr="009613E2"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ų</w:t>
            </w:r>
            <w:r w:rsidRPr="009613E2">
              <w:rPr>
                <w:rFonts w:ascii="Times New Roman" w:cs="Calibri"/>
                <w:bCs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kvalifikacijos reikalavimai</w:t>
            </w:r>
          </w:p>
          <w:p w14:paraId="6F33FDC5" w14:textId="4869BF61" w:rsidR="009613E2" w:rsidRPr="009613E2" w:rsidRDefault="009613E2" w:rsidP="009613E2">
            <w:pPr>
              <w:spacing w:line="20" w:lineRule="atLeast"/>
              <w:jc w:val="center"/>
              <w:rPr>
                <w:rFonts w:ascii="Times New Roman" w:cs="Calibri"/>
                <w:b/>
                <w:i/>
                <w:iCs/>
                <w:outline/>
                <w:color w:val="A02B93" w:themeColor="accent5"/>
                <w:sz w:val="32"/>
                <w:szCs w:val="3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9613E2" w14:paraId="0DF8F660" w14:textId="77777777" w:rsidTr="009613E2">
        <w:tc>
          <w:tcPr>
            <w:tcW w:w="695" w:type="dxa"/>
            <w:shd w:val="clear" w:color="auto" w:fill="auto"/>
            <w:vAlign w:val="center"/>
          </w:tcPr>
          <w:p w14:paraId="2A079613" w14:textId="5D340998" w:rsidR="009613E2" w:rsidRDefault="009613E2" w:rsidP="009613E2">
            <w:pPr>
              <w:spacing w:line="20" w:lineRule="atLeast"/>
              <w:jc w:val="both"/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4004" w:type="dxa"/>
            <w:shd w:val="clear" w:color="auto" w:fill="auto"/>
            <w:vAlign w:val="center"/>
          </w:tcPr>
          <w:p w14:paraId="00151D57" w14:textId="5DEB9E14" w:rsidR="009613E2" w:rsidRDefault="009613E2" w:rsidP="009613E2">
            <w:pPr>
              <w:spacing w:line="20" w:lineRule="atLeast"/>
              <w:jc w:val="both"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Kvalifikacijos reikalavimas</w:t>
            </w:r>
          </w:p>
        </w:tc>
        <w:tc>
          <w:tcPr>
            <w:tcW w:w="4651" w:type="dxa"/>
            <w:shd w:val="clear" w:color="auto" w:fill="auto"/>
            <w:vAlign w:val="center"/>
          </w:tcPr>
          <w:p w14:paraId="45133C31" w14:textId="331C44A7" w:rsidR="009613E2" w:rsidRDefault="009613E2" w:rsidP="009613E2">
            <w:pPr>
              <w:spacing w:line="20" w:lineRule="atLeast"/>
              <w:jc w:val="both"/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Atitiktį reikalavimui įrodantys  dokumentai</w:t>
            </w:r>
          </w:p>
        </w:tc>
      </w:tr>
      <w:tr w:rsidR="009613E2" w14:paraId="32BA124C" w14:textId="77777777" w:rsidTr="009613E2">
        <w:tc>
          <w:tcPr>
            <w:tcW w:w="695" w:type="dxa"/>
            <w:shd w:val="clear" w:color="auto" w:fill="auto"/>
          </w:tcPr>
          <w:p w14:paraId="3D57345A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55803690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Teisė verstis veikla</w:t>
            </w:r>
          </w:p>
        </w:tc>
      </w:tr>
      <w:tr w:rsidR="009613E2" w14:paraId="13E4A0FE" w14:textId="77777777" w:rsidTr="009613E2">
        <w:tc>
          <w:tcPr>
            <w:tcW w:w="695" w:type="dxa"/>
            <w:shd w:val="clear" w:color="auto" w:fill="auto"/>
          </w:tcPr>
          <w:p w14:paraId="275CBB3D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1.1.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2B87CD88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Netaikoma</w:t>
            </w:r>
          </w:p>
        </w:tc>
      </w:tr>
      <w:tr w:rsidR="009613E2" w14:paraId="1AC674B9" w14:textId="77777777" w:rsidTr="009613E2">
        <w:tc>
          <w:tcPr>
            <w:tcW w:w="695" w:type="dxa"/>
            <w:shd w:val="clear" w:color="auto" w:fill="auto"/>
          </w:tcPr>
          <w:p w14:paraId="4500E7CC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i/>
                <w:iCs/>
                <w:sz w:val="21"/>
                <w:szCs w:val="21"/>
              </w:rPr>
              <w:t>2.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4EC94770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Finansinis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>
              <w:rPr>
                <w:rFonts w:cs="Calibri"/>
                <w:b/>
                <w:bCs/>
                <w:sz w:val="21"/>
                <w:szCs w:val="21"/>
              </w:rPr>
              <w:t>ir ekonominis pajėgumas</w:t>
            </w:r>
          </w:p>
        </w:tc>
      </w:tr>
      <w:tr w:rsidR="009613E2" w14:paraId="3881EAB4" w14:textId="77777777" w:rsidTr="009613E2">
        <w:tc>
          <w:tcPr>
            <w:tcW w:w="695" w:type="dxa"/>
            <w:shd w:val="clear" w:color="auto" w:fill="auto"/>
          </w:tcPr>
          <w:p w14:paraId="4A78994D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i/>
                <w:iCs/>
                <w:sz w:val="21"/>
                <w:szCs w:val="21"/>
              </w:rPr>
              <w:t>2.1.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0F9DEC60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Netaikoma</w:t>
            </w:r>
          </w:p>
        </w:tc>
      </w:tr>
      <w:tr w:rsidR="009613E2" w14:paraId="506A6AD7" w14:textId="77777777" w:rsidTr="009613E2">
        <w:tc>
          <w:tcPr>
            <w:tcW w:w="695" w:type="dxa"/>
            <w:shd w:val="clear" w:color="auto" w:fill="auto"/>
          </w:tcPr>
          <w:p w14:paraId="6B15CE55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i/>
                <w:iCs/>
                <w:sz w:val="21"/>
                <w:szCs w:val="21"/>
              </w:rPr>
              <w:t>3.</w:t>
            </w:r>
          </w:p>
        </w:tc>
        <w:tc>
          <w:tcPr>
            <w:tcW w:w="4004" w:type="dxa"/>
            <w:shd w:val="clear" w:color="auto" w:fill="auto"/>
          </w:tcPr>
          <w:p w14:paraId="3E999601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Techninis ir profesinis pajėgumas</w:t>
            </w:r>
          </w:p>
        </w:tc>
        <w:tc>
          <w:tcPr>
            <w:tcW w:w="4651" w:type="dxa"/>
            <w:shd w:val="clear" w:color="auto" w:fill="auto"/>
          </w:tcPr>
          <w:p w14:paraId="251C7969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</w:p>
        </w:tc>
      </w:tr>
      <w:tr w:rsidR="009613E2" w14:paraId="3E2F440C" w14:textId="77777777" w:rsidTr="009613E2">
        <w:tc>
          <w:tcPr>
            <w:tcW w:w="695" w:type="dxa"/>
            <w:shd w:val="clear" w:color="auto" w:fill="auto"/>
          </w:tcPr>
          <w:p w14:paraId="1D918EB4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i/>
                <w:iCs/>
                <w:sz w:val="21"/>
                <w:szCs w:val="21"/>
              </w:rPr>
              <w:t>3.1.</w:t>
            </w:r>
          </w:p>
        </w:tc>
        <w:tc>
          <w:tcPr>
            <w:tcW w:w="4004" w:type="dxa"/>
            <w:shd w:val="clear" w:color="auto" w:fill="auto"/>
          </w:tcPr>
          <w:p w14:paraId="741C45A3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ascii="Times New Roman" w:cs="Arial"/>
              </w:rPr>
              <w:t>Tiek</w:t>
            </w:r>
            <w:r>
              <w:rPr>
                <w:rFonts w:ascii="Times New Roman" w:cs="Arial"/>
              </w:rPr>
              <w:t>ė</w:t>
            </w:r>
            <w:r>
              <w:rPr>
                <w:rFonts w:ascii="Times New Roman" w:cs="Arial"/>
              </w:rPr>
              <w:t>jas turi tur</w:t>
            </w:r>
            <w:r>
              <w:rPr>
                <w:rFonts w:ascii="Times New Roman" w:cs="Arial"/>
              </w:rPr>
              <w:t>ė</w:t>
            </w:r>
            <w:r>
              <w:rPr>
                <w:rFonts w:ascii="Times New Roman" w:cs="Arial"/>
              </w:rPr>
              <w:t>ti specialistus, galin</w:t>
            </w:r>
            <w:r>
              <w:rPr>
                <w:rFonts w:ascii="Times New Roman" w:cs="Arial"/>
              </w:rPr>
              <w:t>č</w:t>
            </w:r>
            <w:r>
              <w:rPr>
                <w:rFonts w:ascii="Times New Roman" w:cs="Arial"/>
              </w:rPr>
              <w:t>ius u</w:t>
            </w:r>
            <w:r>
              <w:rPr>
                <w:rFonts w:ascii="Times New Roman" w:cs="Arial"/>
              </w:rPr>
              <w:t>ž</w:t>
            </w:r>
            <w:r>
              <w:rPr>
                <w:rFonts w:ascii="Times New Roman" w:cs="Arial"/>
              </w:rPr>
              <w:t>tikrinti tinkam</w:t>
            </w:r>
            <w:r>
              <w:rPr>
                <w:rFonts w:ascii="Times New Roman" w:cs="Arial"/>
              </w:rPr>
              <w:t>ą</w:t>
            </w:r>
            <w:r>
              <w:rPr>
                <w:rFonts w:ascii="Times New Roman" w:cs="Arial"/>
              </w:rPr>
              <w:t xml:space="preserve"> darb</w:t>
            </w:r>
            <w:r>
              <w:rPr>
                <w:rFonts w:ascii="Times New Roman" w:cs="Arial"/>
              </w:rPr>
              <w:t>ų</w:t>
            </w:r>
            <w:r>
              <w:rPr>
                <w:rFonts w:ascii="Times New Roman" w:cs="Arial"/>
              </w:rPr>
              <w:t xml:space="preserve"> atlikim</w:t>
            </w:r>
            <w:r>
              <w:rPr>
                <w:rFonts w:ascii="Times New Roman" w:cs="Arial"/>
              </w:rPr>
              <w:t>ą</w:t>
            </w:r>
            <w:r>
              <w:rPr>
                <w:rFonts w:ascii="Times New Roman" w:cs="Arial"/>
              </w:rPr>
              <w:t>, kurie turi tur</w:t>
            </w:r>
            <w:r>
              <w:rPr>
                <w:rFonts w:ascii="Times New Roman" w:cs="Arial"/>
              </w:rPr>
              <w:t>ė</w:t>
            </w:r>
            <w:r>
              <w:rPr>
                <w:rFonts w:ascii="Times New Roman" w:cs="Arial"/>
              </w:rPr>
              <w:t>ti kilnojam</w:t>
            </w:r>
            <w:r>
              <w:rPr>
                <w:rFonts w:ascii="Times New Roman" w:cs="Arial"/>
              </w:rPr>
              <w:t>ų</w:t>
            </w:r>
            <w:r>
              <w:rPr>
                <w:rFonts w:ascii="Times New Roman" w:cs="Arial"/>
              </w:rPr>
              <w:t>j</w:t>
            </w:r>
            <w:r>
              <w:rPr>
                <w:rFonts w:ascii="Times New Roman" w:cs="Arial"/>
              </w:rPr>
              <w:t>ų</w:t>
            </w:r>
            <w:r>
              <w:rPr>
                <w:rFonts w:ascii="Times New Roman" w:cs="Arial"/>
              </w:rPr>
              <w:t xml:space="preserve"> kult</w:t>
            </w:r>
            <w:r>
              <w:rPr>
                <w:rFonts w:ascii="Times New Roman" w:cs="Arial"/>
              </w:rPr>
              <w:t>ū</w:t>
            </w:r>
            <w:r>
              <w:rPr>
                <w:rFonts w:ascii="Times New Roman" w:cs="Arial"/>
              </w:rPr>
              <w:t>ros vertybi</w:t>
            </w:r>
            <w:r>
              <w:rPr>
                <w:rFonts w:ascii="Times New Roman" w:cs="Arial"/>
              </w:rPr>
              <w:t>ų</w:t>
            </w:r>
            <w:r>
              <w:rPr>
                <w:rFonts w:ascii="Times New Roman" w:cs="Arial"/>
              </w:rPr>
              <w:t xml:space="preserve"> ar  vertyb</w:t>
            </w:r>
            <w:r>
              <w:rPr>
                <w:rFonts w:ascii="Times New Roman" w:cs="Arial"/>
              </w:rPr>
              <w:t>ė</w:t>
            </w:r>
            <w:r>
              <w:rPr>
                <w:rFonts w:ascii="Times New Roman" w:cs="Arial"/>
              </w:rPr>
              <w:t>s, kuri yra paminklo status</w:t>
            </w:r>
            <w:r>
              <w:rPr>
                <w:rFonts w:ascii="Times New Roman" w:cs="Arial"/>
              </w:rPr>
              <w:t>ą</w:t>
            </w:r>
            <w:r>
              <w:rPr>
                <w:rFonts w:ascii="Times New Roman" w:cs="Arial"/>
              </w:rPr>
              <w:t xml:space="preserve"> turin</w:t>
            </w:r>
            <w:r>
              <w:rPr>
                <w:rFonts w:ascii="Times New Roman" w:cs="Arial"/>
              </w:rPr>
              <w:t>č</w:t>
            </w:r>
            <w:r>
              <w:rPr>
                <w:rFonts w:ascii="Times New Roman" w:cs="Arial"/>
              </w:rPr>
              <w:t>io nekilnojamojo kult</w:t>
            </w:r>
            <w:r>
              <w:rPr>
                <w:rFonts w:ascii="Times New Roman" w:cs="Arial"/>
              </w:rPr>
              <w:t>ū</w:t>
            </w:r>
            <w:r>
              <w:rPr>
                <w:rFonts w:ascii="Times New Roman" w:cs="Arial"/>
              </w:rPr>
              <w:t>ros paveldo statinio vertingosios savyb</w:t>
            </w:r>
            <w:r>
              <w:rPr>
                <w:rFonts w:ascii="Times New Roman" w:cs="Arial"/>
              </w:rPr>
              <w:t>ė</w:t>
            </w:r>
            <w:r>
              <w:rPr>
                <w:rFonts w:ascii="Times New Roman" w:cs="Arial"/>
              </w:rPr>
              <w:t xml:space="preserve">s, konservavimo, restauravimo patirties, </w:t>
            </w:r>
            <w:proofErr w:type="spellStart"/>
            <w:r>
              <w:rPr>
                <w:rFonts w:ascii="Times New Roman" w:cs="Arial"/>
              </w:rPr>
              <w:t>t.y</w:t>
            </w:r>
            <w:proofErr w:type="spellEnd"/>
            <w:r>
              <w:rPr>
                <w:rFonts w:ascii="Times New Roman" w:cs="Arial"/>
              </w:rPr>
              <w:t xml:space="preserve">. </w:t>
            </w:r>
            <w:r>
              <w:rPr>
                <w:rFonts w:ascii="Times New Roman" w:cs="Arial"/>
              </w:rPr>
              <w:t>į</w:t>
            </w:r>
            <w:r>
              <w:rPr>
                <w:rFonts w:ascii="Times New Roman" w:cs="Arial"/>
              </w:rPr>
              <w:t>gyvendin</w:t>
            </w:r>
            <w:r>
              <w:rPr>
                <w:rFonts w:ascii="Times New Roman" w:cs="Arial"/>
              </w:rPr>
              <w:t>ę</w:t>
            </w:r>
            <w:r>
              <w:rPr>
                <w:rFonts w:ascii="Times New Roman" w:cs="Arial"/>
              </w:rPr>
              <w:t>s bent vien</w:t>
            </w:r>
            <w:r>
              <w:rPr>
                <w:rFonts w:ascii="Times New Roman" w:cs="Arial"/>
              </w:rPr>
              <w:t>ą</w:t>
            </w:r>
            <w:r>
              <w:rPr>
                <w:rFonts w:ascii="Times New Roman" w:cs="Arial"/>
              </w:rPr>
              <w:t xml:space="preserve"> tokio objekto konservavimo, restauravimo darb</w:t>
            </w:r>
            <w:r>
              <w:rPr>
                <w:rFonts w:ascii="Times New Roman" w:cs="Arial"/>
              </w:rPr>
              <w:t>ų</w:t>
            </w:r>
            <w:r>
              <w:rPr>
                <w:rFonts w:ascii="Times New Roman" w:cs="Arial"/>
              </w:rPr>
              <w:t xml:space="preserve"> program</w:t>
            </w:r>
            <w:r>
              <w:rPr>
                <w:rFonts w:ascii="Times New Roman" w:cs="Arial"/>
              </w:rPr>
              <w:t>ą</w:t>
            </w:r>
            <w:r>
              <w:rPr>
                <w:rFonts w:ascii="Times New Roman" w:cs="Arial"/>
              </w:rPr>
              <w:t xml:space="preserve"> ir atsiskait</w:t>
            </w:r>
            <w:r>
              <w:rPr>
                <w:rFonts w:ascii="Times New Roman" w:cs="Arial"/>
              </w:rPr>
              <w:t>ę</w:t>
            </w:r>
            <w:r>
              <w:rPr>
                <w:rFonts w:ascii="Times New Roman" w:cs="Arial"/>
              </w:rPr>
              <w:t>s u</w:t>
            </w:r>
            <w:r>
              <w:rPr>
                <w:rFonts w:ascii="Times New Roman" w:cs="Arial"/>
              </w:rPr>
              <w:t>ž</w:t>
            </w:r>
            <w:r>
              <w:rPr>
                <w:rFonts w:ascii="Times New Roman" w:cs="Arial"/>
              </w:rPr>
              <w:t xml:space="preserve"> darbus nustatyta tvarka (</w:t>
            </w:r>
            <w:r>
              <w:rPr>
                <w:rFonts w:ascii="Times New Roman" w:cs="Arial"/>
                <w:i/>
              </w:rPr>
              <w:t>Specialistas gali b</w:t>
            </w:r>
            <w:r>
              <w:rPr>
                <w:rFonts w:ascii="Times New Roman" w:cs="Arial"/>
                <w:i/>
              </w:rPr>
              <w:t>ū</w:t>
            </w:r>
            <w:r>
              <w:rPr>
                <w:rFonts w:ascii="Times New Roman" w:cs="Arial"/>
                <w:i/>
              </w:rPr>
              <w:t>ti si</w:t>
            </w:r>
            <w:r>
              <w:rPr>
                <w:rFonts w:ascii="Times New Roman" w:cs="Arial"/>
                <w:i/>
              </w:rPr>
              <w:t>ū</w:t>
            </w:r>
            <w:r>
              <w:rPr>
                <w:rFonts w:ascii="Times New Roman" w:cs="Arial"/>
                <w:i/>
              </w:rPr>
              <w:t>lomas vienai ar kelioms pozicijoms, jei jis turi teis</w:t>
            </w:r>
            <w:r>
              <w:rPr>
                <w:rFonts w:ascii="Times New Roman" w:cs="Arial"/>
                <w:i/>
              </w:rPr>
              <w:t>ę</w:t>
            </w:r>
            <w:r>
              <w:rPr>
                <w:rFonts w:ascii="Times New Roman" w:cs="Arial"/>
                <w:i/>
              </w:rPr>
              <w:t>/kvalifikacij</w:t>
            </w:r>
            <w:r>
              <w:rPr>
                <w:rFonts w:ascii="Times New Roman" w:cs="Arial"/>
                <w:i/>
              </w:rPr>
              <w:t>ą</w:t>
            </w:r>
            <w:r>
              <w:rPr>
                <w:rFonts w:ascii="Times New Roman" w:cs="Arial"/>
                <w:i/>
              </w:rPr>
              <w:t xml:space="preserve"> pagal atitinkamame punkte nurodytus reikalavimus</w:t>
            </w:r>
            <w:r>
              <w:rPr>
                <w:rFonts w:ascii="Times New Roman" w:cs="Arial"/>
              </w:rPr>
              <w:t>):</w:t>
            </w:r>
          </w:p>
        </w:tc>
        <w:tc>
          <w:tcPr>
            <w:tcW w:w="4651" w:type="dxa"/>
            <w:vMerge w:val="restart"/>
            <w:shd w:val="clear" w:color="auto" w:fill="auto"/>
          </w:tcPr>
          <w:p w14:paraId="7BA86B88" w14:textId="77777777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eastAsia="Arial Unicode MS" w:cs="Arial"/>
                <w:bdr w:val="nil"/>
                <w:lang w:eastAsia="lt-LT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>. Tiek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jo ar jo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į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galioto asmens para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u patvirtintas specialist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(-o), kurie (-</w:t>
            </w:r>
            <w:proofErr w:type="spellStart"/>
            <w:r>
              <w:rPr>
                <w:rFonts w:ascii="Times New Roman" w:eastAsia="Arial Unicode MS" w:cs="Arial"/>
                <w:bdr w:val="nil"/>
                <w:lang w:eastAsia="lt-LT"/>
              </w:rPr>
              <w:t>is</w:t>
            </w:r>
            <w:proofErr w:type="spellEnd"/>
            <w:r>
              <w:rPr>
                <w:rFonts w:ascii="Times New Roman" w:eastAsia="Arial Unicode MS" w:cs="Arial"/>
                <w:bdr w:val="nil"/>
                <w:lang w:eastAsia="lt-LT"/>
              </w:rPr>
              <w:t>) bus atsakingi (-</w:t>
            </w:r>
            <w:proofErr w:type="spellStart"/>
            <w:r>
              <w:rPr>
                <w:rFonts w:ascii="Times New Roman" w:eastAsia="Arial Unicode MS" w:cs="Arial"/>
                <w:bdr w:val="nil"/>
                <w:lang w:eastAsia="lt-LT"/>
              </w:rPr>
              <w:t>as</w:t>
            </w:r>
            <w:proofErr w:type="spellEnd"/>
            <w:r>
              <w:rPr>
                <w:rFonts w:ascii="Times New Roman" w:eastAsia="Arial Unicode MS" w:cs="Arial"/>
                <w:bdr w:val="nil"/>
                <w:lang w:eastAsia="lt-LT"/>
              </w:rPr>
              <w:t>) u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pirkimo sutarties vykdym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, 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ra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as, kuriame nurodomi specialisto vardas, pavard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, jo pareigos, vykdant pirkimo sutart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į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, specialisto turimi atestatai, 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davusios institucijos pavadinimas, atestato numeris ir galiojimo laikas, kiekvieno specialisto darb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teikimo tiek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jui teisin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forma (darbo sutartis, ketinim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protokolas ar kt.).</w:t>
            </w:r>
          </w:p>
          <w:p w14:paraId="07324136" w14:textId="77777777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eastAsia="Arial Unicode MS" w:cs="Arial"/>
                <w:bdr w:val="nil"/>
                <w:lang w:eastAsia="lt-LT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>2. Dokumentai, patvirtinantys, specialisto esamus santykius su tiek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ju ir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į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rodantys, kad vykdant pirkimo sutart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į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specialistas atliks jam nustatytas funkcijas, jei specialistas yra ne tiek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jo darbuotojas.</w:t>
            </w:r>
          </w:p>
          <w:p w14:paraId="2DFC7163" w14:textId="77777777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eastAsia="Arial Unicode MS" w:cs="Arial"/>
                <w:bdr w:val="nil"/>
                <w:lang w:eastAsia="lt-LT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>3. Specialist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kvalifikacij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pagrind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iantys dokumentai pagal nustatytus reikalavimus:</w:t>
            </w:r>
          </w:p>
          <w:p w14:paraId="4896A25B" w14:textId="77777777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eastAsia="Arial Unicode MS" w:cs="Arial"/>
                <w:bdr w:val="nil"/>
                <w:lang w:eastAsia="lt-LT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>3.1. Lietuvos Respublikos kult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ū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ros ministerijos nustatyta tvarka 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duotas kvalifikacijos atestatas (ar lygiavertis dokumentas) ir (arba) teis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pripa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inimo dokument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.</w:t>
            </w:r>
          </w:p>
          <w:p w14:paraId="55DF4A29" w14:textId="29863EFC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eastAsia="Arial Unicode MS" w:cs="Arial"/>
                <w:bdr w:val="nil"/>
                <w:lang w:eastAsia="lt-LT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Jeigu specialistas yra ne </w:t>
            </w:r>
            <w:r>
              <w:rPr>
                <w:rFonts w:ascii="Times New Roman" w:eastAsia="Arial Unicode MS" w:cs="Arial"/>
                <w:i/>
                <w:u w:val="single"/>
                <w:bdr w:val="nil"/>
                <w:lang w:eastAsia="lt-LT"/>
              </w:rPr>
              <w:t>Lietuvos Respublikos pilietis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, tiek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jas turi pateikti atitinkam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u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sienio valstyb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institucij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duot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specialisto atestat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ir Lietuvos Respublikos kult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ū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ros ministerijos 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duot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teis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s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dirbti Lietuvos Respublikoje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pripa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inimo dokument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.</w:t>
            </w:r>
          </w:p>
          <w:p w14:paraId="722CDD36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>3.2. Restauratoriaus kilnojam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j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kult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ū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ros vertybi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ar vertyb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s, kuri yra paminklo status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turin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č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io nekilnojamojo kult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ū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ros paveldo statinio vertingosios savyb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s, atlikt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darb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s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ą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ra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as, nurodant konservavimo, restauravimo darb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program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pavadinimus.</w:t>
            </w:r>
          </w:p>
        </w:tc>
      </w:tr>
      <w:tr w:rsidR="009613E2" w14:paraId="3A401AA7" w14:textId="77777777" w:rsidTr="009613E2">
        <w:tc>
          <w:tcPr>
            <w:tcW w:w="695" w:type="dxa"/>
            <w:shd w:val="clear" w:color="auto" w:fill="auto"/>
          </w:tcPr>
          <w:p w14:paraId="36525BB3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i/>
                <w:iCs/>
                <w:sz w:val="21"/>
                <w:szCs w:val="21"/>
              </w:rPr>
              <w:t>3.1.1.</w:t>
            </w:r>
          </w:p>
        </w:tc>
        <w:tc>
          <w:tcPr>
            <w:tcW w:w="4004" w:type="dxa"/>
            <w:shd w:val="clear" w:color="auto" w:fill="auto"/>
          </w:tcPr>
          <w:p w14:paraId="1094A59E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ne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emesn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nei auk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šč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iausios kvalifikacin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s kategorijos </w:t>
            </w:r>
            <w:proofErr w:type="spellStart"/>
            <w:r>
              <w:rPr>
                <w:rFonts w:ascii="Times New Roman" w:eastAsia="Arial Unicode MS" w:cs="Arial"/>
                <w:bdr w:val="nil"/>
                <w:lang w:eastAsia="lt-LT"/>
              </w:rPr>
              <w:t>auksuot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</w:t>
            </w:r>
            <w:proofErr w:type="spellEnd"/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restauratori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</w:p>
        </w:tc>
        <w:tc>
          <w:tcPr>
            <w:tcW w:w="4651" w:type="dxa"/>
            <w:vMerge/>
            <w:shd w:val="clear" w:color="auto" w:fill="auto"/>
          </w:tcPr>
          <w:p w14:paraId="31A24BBB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</w:p>
        </w:tc>
      </w:tr>
      <w:tr w:rsidR="009613E2" w14:paraId="5A40D30D" w14:textId="77777777" w:rsidTr="009613E2">
        <w:tc>
          <w:tcPr>
            <w:tcW w:w="695" w:type="dxa"/>
            <w:shd w:val="clear" w:color="auto" w:fill="auto"/>
          </w:tcPr>
          <w:p w14:paraId="484B4AB7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  <w:r>
              <w:rPr>
                <w:rFonts w:ascii="Times New Roman" w:cs="Calibri"/>
                <w:i/>
                <w:iCs/>
              </w:rPr>
              <w:t>3.1.2</w:t>
            </w:r>
          </w:p>
        </w:tc>
        <w:tc>
          <w:tcPr>
            <w:tcW w:w="4004" w:type="dxa"/>
            <w:shd w:val="clear" w:color="auto" w:fill="auto"/>
          </w:tcPr>
          <w:p w14:paraId="0B7E245A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ne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emesn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nei auk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šč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iausios kvalifikacin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s kategorijos </w:t>
            </w:r>
            <w:proofErr w:type="spellStart"/>
            <w:r>
              <w:rPr>
                <w:rFonts w:ascii="Times New Roman" w:eastAsia="Arial Unicode MS" w:cs="Arial"/>
                <w:bdr w:val="nil"/>
                <w:lang w:eastAsia="lt-LT"/>
              </w:rPr>
              <w:t>polichromuoto</w:t>
            </w:r>
            <w:proofErr w:type="spellEnd"/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med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io restauratori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 w:rsidDel="00E05BA0">
              <w:rPr>
                <w:rFonts w:ascii="Times New Roman" w:eastAsia="Arial Unicode MS" w:cs="Arial"/>
                <w:strike/>
                <w:bdr w:val="nil"/>
                <w:lang w:eastAsia="lt-LT"/>
              </w:rPr>
              <w:t xml:space="preserve"> </w:t>
            </w:r>
          </w:p>
        </w:tc>
        <w:tc>
          <w:tcPr>
            <w:tcW w:w="4651" w:type="dxa"/>
            <w:vMerge/>
            <w:shd w:val="clear" w:color="auto" w:fill="auto"/>
          </w:tcPr>
          <w:p w14:paraId="01454A52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</w:p>
        </w:tc>
      </w:tr>
      <w:tr w:rsidR="009613E2" w14:paraId="7317EC3A" w14:textId="77777777" w:rsidTr="009613E2">
        <w:tc>
          <w:tcPr>
            <w:tcW w:w="695" w:type="dxa"/>
            <w:shd w:val="clear" w:color="auto" w:fill="auto"/>
          </w:tcPr>
          <w:p w14:paraId="03ED7A76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  <w:r>
              <w:rPr>
                <w:rFonts w:ascii="Times New Roman" w:cs="Calibri"/>
                <w:i/>
                <w:iCs/>
              </w:rPr>
              <w:t>3.1.3</w:t>
            </w:r>
          </w:p>
        </w:tc>
        <w:tc>
          <w:tcPr>
            <w:tcW w:w="4004" w:type="dxa"/>
            <w:shd w:val="clear" w:color="auto" w:fill="auto"/>
          </w:tcPr>
          <w:p w14:paraId="487FAC8D" w14:textId="77777777" w:rsidR="009613E2" w:rsidRDefault="009613E2" w:rsidP="009613E2">
            <w:pPr>
              <w:tabs>
                <w:tab w:val="left" w:pos="1134"/>
              </w:tabs>
              <w:contextualSpacing/>
              <w:jc w:val="both"/>
              <w:rPr>
                <w:rFonts w:ascii="Times New Roman" w:cs="Arial"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ne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emesn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nei I kvalifikacin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kategorijos menini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bald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restauratori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 w:rsidDel="0095665B">
              <w:rPr>
                <w:rFonts w:ascii="Times New Roman" w:eastAsia="Arial Unicode MS" w:cs="Arial"/>
                <w:bdr w:val="nil"/>
                <w:lang w:eastAsia="lt-LT"/>
              </w:rPr>
              <w:t xml:space="preserve"> </w:t>
            </w:r>
          </w:p>
          <w:p w14:paraId="650B7317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</w:p>
        </w:tc>
        <w:tc>
          <w:tcPr>
            <w:tcW w:w="4651" w:type="dxa"/>
            <w:vMerge/>
            <w:shd w:val="clear" w:color="auto" w:fill="auto"/>
          </w:tcPr>
          <w:p w14:paraId="034B1958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</w:p>
        </w:tc>
      </w:tr>
      <w:tr w:rsidR="009613E2" w14:paraId="3926BCED" w14:textId="77777777" w:rsidTr="009613E2">
        <w:tc>
          <w:tcPr>
            <w:tcW w:w="695" w:type="dxa"/>
            <w:shd w:val="clear" w:color="auto" w:fill="auto"/>
          </w:tcPr>
          <w:p w14:paraId="77CE742A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  <w:r>
              <w:rPr>
                <w:rFonts w:ascii="Times New Roman" w:cs="Calibri"/>
                <w:i/>
                <w:iCs/>
              </w:rPr>
              <w:t>3.1.4</w:t>
            </w:r>
          </w:p>
        </w:tc>
        <w:tc>
          <w:tcPr>
            <w:tcW w:w="4004" w:type="dxa"/>
            <w:shd w:val="clear" w:color="auto" w:fill="auto"/>
          </w:tcPr>
          <w:p w14:paraId="464B7335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ne 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ž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emesn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nei auk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šč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iausios kvalifikacin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ė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s kategorijos metalo dirbini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 xml:space="preserve"> restauratori</w:t>
            </w:r>
            <w:r>
              <w:rPr>
                <w:rFonts w:ascii="Times New Roman" w:eastAsia="Arial Unicode MS" w:cs="Arial"/>
                <w:bdr w:val="nil"/>
                <w:lang w:eastAsia="lt-LT"/>
              </w:rPr>
              <w:t>ų</w:t>
            </w:r>
          </w:p>
        </w:tc>
        <w:tc>
          <w:tcPr>
            <w:tcW w:w="4651" w:type="dxa"/>
            <w:vMerge/>
            <w:shd w:val="clear" w:color="auto" w:fill="auto"/>
          </w:tcPr>
          <w:p w14:paraId="578F8D26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  <w:i/>
                <w:iCs/>
              </w:rPr>
            </w:pPr>
          </w:p>
        </w:tc>
      </w:tr>
      <w:tr w:rsidR="009613E2" w14:paraId="39DAB5F0" w14:textId="77777777" w:rsidTr="009613E2">
        <w:tc>
          <w:tcPr>
            <w:tcW w:w="695" w:type="dxa"/>
            <w:shd w:val="clear" w:color="auto" w:fill="auto"/>
          </w:tcPr>
          <w:p w14:paraId="1E2AACF0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i/>
                <w:iCs/>
                <w:sz w:val="21"/>
                <w:szCs w:val="21"/>
              </w:rPr>
              <w:t>4.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663928AF" w14:textId="77777777" w:rsidR="009613E2" w:rsidRDefault="009613E2" w:rsidP="009613E2">
            <w:pPr>
              <w:spacing w:line="20" w:lineRule="atLeast"/>
              <w:jc w:val="both"/>
              <w:rPr>
                <w:rFonts w:cs="Calibri"/>
                <w:i/>
                <w:iCs/>
                <w:sz w:val="21"/>
                <w:szCs w:val="21"/>
              </w:rPr>
            </w:pPr>
            <w:r>
              <w:rPr>
                <w:rFonts w:cs="Calibri"/>
                <w:b/>
                <w:bCs/>
                <w:i/>
                <w:iCs/>
                <w:sz w:val="21"/>
                <w:szCs w:val="21"/>
              </w:rPr>
              <w:t>Aplinkos apsaugos vadybos priemonės</w:t>
            </w:r>
          </w:p>
        </w:tc>
      </w:tr>
      <w:tr w:rsidR="009613E2" w14:paraId="60C1FC73" w14:textId="77777777" w:rsidTr="009613E2">
        <w:tc>
          <w:tcPr>
            <w:tcW w:w="695" w:type="dxa"/>
            <w:shd w:val="clear" w:color="auto" w:fill="auto"/>
          </w:tcPr>
          <w:p w14:paraId="16829567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</w:rPr>
            </w:pPr>
            <w:r>
              <w:rPr>
                <w:rFonts w:ascii="Times New Roman" w:cs="Calibri"/>
              </w:rPr>
              <w:t>4.1.</w:t>
            </w:r>
          </w:p>
        </w:tc>
        <w:tc>
          <w:tcPr>
            <w:tcW w:w="8655" w:type="dxa"/>
            <w:gridSpan w:val="2"/>
            <w:shd w:val="clear" w:color="auto" w:fill="auto"/>
          </w:tcPr>
          <w:p w14:paraId="2AAA4266" w14:textId="77777777" w:rsidR="009613E2" w:rsidRDefault="009613E2" w:rsidP="009613E2">
            <w:pPr>
              <w:spacing w:line="20" w:lineRule="atLeast"/>
              <w:jc w:val="both"/>
              <w:rPr>
                <w:rFonts w:ascii="Times New Roman" w:cs="Calibri"/>
              </w:rPr>
            </w:pPr>
            <w:r>
              <w:rPr>
                <w:rFonts w:ascii="Times New Roman" w:cs="Calibri"/>
              </w:rPr>
              <w:t>Netaikoma</w:t>
            </w:r>
          </w:p>
        </w:tc>
      </w:tr>
    </w:tbl>
    <w:p w14:paraId="174CE4A4" w14:textId="77777777" w:rsidR="009613E2" w:rsidRDefault="009613E2"/>
    <w:sectPr w:rsidR="00961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3E2"/>
    <w:rsid w:val="009613E2"/>
    <w:rsid w:val="00EF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15D16"/>
  <w15:chartTrackingRefBased/>
  <w15:docId w15:val="{D1F143B4-7A03-4BE1-828D-D834A8B4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3E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3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3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3E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3E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3E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3E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3E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3E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3E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3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3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3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3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3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3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3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1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3E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1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3E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13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3E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13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3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3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2025-06-03T12:31:00Z</dcterms:created>
  <dc:creator>Indrė Baliulytė</dc:creator>
  <cp:lastModifiedBy>Indrė Baliulytė</cp:lastModifiedBy>
  <dcterms:modified xsi:type="dcterms:W3CDTF">2025-06-03T12:36:00Z</dcterms:modified>
  <cp:revision>1</cp:revision>
</cp:coreProperties>
</file>